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汕头职业技术学院扩招基建项目</w:t>
      </w:r>
      <w:r>
        <w:rPr>
          <w:rFonts w:hint="eastAsia"/>
          <w:b/>
          <w:bCs/>
          <w:sz w:val="36"/>
          <w:szCs w:val="36"/>
        </w:rPr>
        <w:t>竣工财务决算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编审服务项目</w:t>
      </w:r>
      <w:r>
        <w:rPr>
          <w:rFonts w:hint="eastAsia"/>
          <w:b/>
          <w:bCs/>
          <w:sz w:val="36"/>
          <w:szCs w:val="36"/>
          <w:lang w:val="en-US" w:eastAsia="zh-CN"/>
        </w:rPr>
        <w:t>需求书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汕头职业技术学院扩招基建项目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二、项目概况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1.基本概况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汕头职业技术学院扩招基建项目位于濠江区东湖教育园区，属汕头职业技术学院范围内地块。总用地面积约290926.2平方米（合436.3893 亩），占地面积约19002平方米（合28.503 亩）。项目总建筑面积约76764.78 平方米，新建4栋单体建筑，分为1栋12层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号学生宿舍楼建筑、1栋13层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号学生宿舍楼建筑、1栋4层食堂建筑、1栋7层实训楼建筑。具体如下：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（1）7号宿舍楼，建筑总层数为12层，总建筑面积为17373.98平 方米，建筑总高44.9m，建设学生宿舍222间（含2间无障碍宿舍），每间套内建筑面积约45.24平方米，单独配备卫生间、空调，每间宿舍可容纳6名学生住宿，总共可容纳1328名学生住宿。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（2）8号宿舍楼，建筑总层数为13层，总建筑面积为26994.8平 方米（一层地下室，建筑面积3375.17 平方米，含人防工程面积为3000平方米），建筑总高48.5m，建设学生宿舍290间（含2间无障碍宿舍），每间套内建筑面积约45.24平方米，单独配备卫生间、空调。每间宿舍可容纳6名学生住宿，总共可容纳1736名学生住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（3）第三食堂，建筑总层数为4层，总建筑面积为5153.6平方米，建筑总高17.5m，可供就餐人数为1400人。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（4）第三实训楼，建筑总层数为7层，总建筑面积为27242.4平方米（一层地下室，建筑面积 4057.89平方米，含人防工程面积为3063.7平方米），建筑总高31.3m，实训楼配备有扶梯、实训区等实训楼相关配套。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项目配套景观绿化、道路等室外配套设施，于 2020 年 4 月3日开工，2021 年 12月28日竣工验收。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2.投资情况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本项目经发改部门批复的投资概算为36585.07万元，2022年8月17日濠江区财政局出具《关于汕头职业技术学院扩招基建项目结算审核的复函》和《濠江区财政投资项目工程结算定案书》，项目结算财政审核金额为34799.043132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三、用户需求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1.服务内容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依据《基本建设财务规则》（财政部令第81号）、《基本建设项目竣工财务决算管理暂行办法》（财建〔2016〕503号）、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地方政府专项债券相关业务会计处理暂行规定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》（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财会〔2025﹞17号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）、《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广东省财政厅关于基本建设财务管理的实施办法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》（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粤财规〔2022﹞2号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）、《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广东省财政厅关于基本建设项目竣工财务决算管理的实施细则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等文件规定，</w:t>
      </w:r>
      <w:r>
        <w:rPr>
          <w:rFonts w:hint="default" w:ascii="Times New Roman" w:hAnsi="Times New Roman" w:eastAsia="仿宋" w:cs="Times New Roman"/>
          <w:sz w:val="30"/>
          <w:szCs w:val="30"/>
        </w:rPr>
        <w:t>对汕头职业技术学院扩招基建项目整个工程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30"/>
          <w:szCs w:val="30"/>
        </w:rPr>
        <w:t>从筹建到竣工交付使用全过程的实际造价、资金使用情况、资产形成进行全面核算、审核与编制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包括但不限于工程竣工图和造价对比分析、编制和审核工作、配合审计、资产移交、资料归档等全过程服务。具体包括但不限于：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（1）</w:t>
      </w:r>
      <w:r>
        <w:rPr>
          <w:rFonts w:hint="default" w:ascii="Times New Roman" w:hAnsi="Times New Roman" w:eastAsia="仿宋" w:cs="Times New Roman"/>
          <w:sz w:val="30"/>
          <w:szCs w:val="30"/>
        </w:rPr>
        <w:t>完成项目竣工财务决算报表、说明书编制，出具正式决算报告；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（2）</w:t>
      </w:r>
      <w:r>
        <w:rPr>
          <w:rFonts w:hint="default" w:ascii="Times New Roman" w:hAnsi="Times New Roman" w:eastAsia="仿宋" w:cs="Times New Roman"/>
          <w:sz w:val="30"/>
          <w:szCs w:val="30"/>
        </w:rPr>
        <w:t>对决算报告进行全面审核，出具审核报告；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sz w:val="30"/>
          <w:szCs w:val="30"/>
        </w:rPr>
        <w:t>配合财政、审计等部门决算审计，按意见调整决算；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（4）</w:t>
      </w:r>
      <w:r>
        <w:rPr>
          <w:rFonts w:hint="default" w:ascii="Times New Roman" w:hAnsi="Times New Roman" w:eastAsia="仿宋" w:cs="Times New Roman"/>
          <w:sz w:val="30"/>
          <w:szCs w:val="30"/>
        </w:rPr>
        <w:t>编制资产移交报告，协助办理资产移交与入账；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（5）</w:t>
      </w:r>
      <w:r>
        <w:rPr>
          <w:rFonts w:hint="default" w:ascii="Times New Roman" w:hAnsi="Times New Roman" w:eastAsia="仿宋" w:cs="Times New Roman"/>
          <w:sz w:val="30"/>
          <w:szCs w:val="30"/>
        </w:rPr>
        <w:t>完成决算资料整理、归档；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（6）</w:t>
      </w:r>
      <w:r>
        <w:rPr>
          <w:rFonts w:hint="default" w:ascii="Times New Roman" w:hAnsi="Times New Roman" w:eastAsia="仿宋" w:cs="Times New Roman"/>
          <w:sz w:val="30"/>
          <w:szCs w:val="30"/>
        </w:rPr>
        <w:t>提供决算相关咨询与配合服务，直至决算批复、资产移交完成。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0"/>
          <w:szCs w:val="30"/>
        </w:rPr>
        <w:t>服务地点：汕头市濠江区东湖汕头职业技术学院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校</w:t>
      </w:r>
      <w:r>
        <w:rPr>
          <w:rFonts w:hint="default" w:ascii="Times New Roman" w:hAnsi="Times New Roman" w:eastAsia="仿宋" w:cs="Times New Roman"/>
          <w:sz w:val="30"/>
          <w:szCs w:val="30"/>
        </w:rPr>
        <w:t>本部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0"/>
          <w:szCs w:val="30"/>
        </w:rPr>
        <w:t>服务质量要求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（1）竣工财务决算编审服务的质量要求包括编审报告的准确性，数据计算无误，内容真实可靠；完整性，涵盖项目所有财务信息，无遗漏。报告需符合国家和地方相关标准规范，能够真实反映项目的财务状况。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（2）在数据安全、信息安全等方面，供应商需建立严格的安全管理制度，采取加密、备份等措施，确保项目财务数据不被泄露、篡改和丢失。对涉及的敏感信息严格保密，防止信息外传。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3）服务过程中需运用的技术规格，采用符合国家财务核算要求的财务软件进行数据处理和分析，如用友、金蝶等知名财务软件。数据分析方法应科学合理，运用财务比率分析、趋势分析等方法对项目财务数据进行深入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（4）交付报告的形式包括纸质版和电子版。纸质版报告需装订成册，一式多份；电子版报告以常见的电子文件格式（如PDF、Excel等）提供，便于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采购人</w:t>
      </w:r>
      <w:r>
        <w:rPr>
          <w:rFonts w:hint="default" w:ascii="Times New Roman" w:hAnsi="Times New Roman" w:eastAsia="仿宋" w:cs="Times New Roman"/>
          <w:sz w:val="30"/>
          <w:szCs w:val="30"/>
        </w:rPr>
        <w:t>存档和查阅。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4.具体编制要求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项目竣工财务决算要做到数字准确、内容完整，计算完成整个建设项目所需的费用包括建安工程投资、设备投资、待摊投资和其他投资等费用，出具反映基本建设工程的建设时间、投资情况、工程概预算执行情况、建设成果和财务状况等的竣工财务决算说明书，编报竣工财务决算报表、竣工财务决算审核情况及相关资料，协助办理资产移交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项目竣工财务决算的内容主要包括：项目竣工财务决算报表、竣工财务决算说明书、竣工财务决（结）算审核情况及相关资料。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竣工财务决算说明书主要包括以下内容：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（1）项目概况；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（2）会计账务处理、财产物资清理及债券债务的清偿情况；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（3）项目建设资金计划及到位情况，财政资金支出预算、投资计划及到位情况；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（4）项目建设资金使用、项目结余资金分配情况；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（5）项目概（预）算执行情况及分析，竣工实际完成投资与概算差异及原因分析；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（6）尾工工程情况；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（7）历次检查、稽察意见及整改落实情况；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（8）审核监理工作尽职情况和监理日记等资料完整情况；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（9）审查全过程造价咨询单位工作尽职情况；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（10）审核项目管理处内控情况；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（11）审核项目管理处工程招投标、合同、工程管理情况；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（12）主要技术经济指标的分析、计算情况；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（13）项目管理经验、主要问题和建议；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（14）预备费动用情况；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（15）项目建设管理制度执行情况、政府采购情况、合同履行情况；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（16）征地拆迁补偿情况、移民安置情况；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（17）需说明的其他事项。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审核报告内容应当详实，主要包括：审核说明、审核依据、审核结果、审核过程发现的问题（存在问题）、意见、建议。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相关资料主要包括：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（1）项目立项、可行性研究报告、初步设计报告及概算、概算调整批复文件的复印件；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（2）项目历年投资计划及财政资金预算下达文件的复印件；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（3）检查意见或文件的复印件，根据检查意见进行整改的情况；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（4）建设项目所有入账财务凭证、总账、明细账、工程项目盘点移交清单及财产盘点移交清单等相关资料；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（5）其他与项目决算相关资料。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5.服务成果要求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供应商编审的竣工财务决算应当符合“先审核、后批复”的管理要求，审核报告应详实说明审核依据、审核结果、发现的问题及整改建议，确保决算成果具备报请财政等部门批复的条件。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四、供应商资格条件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满足《中华人民共和国政府采购法》第二十二条规定；符合《中华人民共和国政府采购法实施条例》第十八条规定；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0"/>
          <w:szCs w:val="30"/>
        </w:rPr>
        <w:t>供应商须同时满足以下特定资格条件：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0"/>
          <w:szCs w:val="30"/>
        </w:rPr>
        <w:t>具备财政部门颁发的会计师事务所执业资格证书；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0"/>
          <w:szCs w:val="30"/>
        </w:rPr>
        <w:t>具有相应的造价咨询能力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已入驻广东政府采购智慧云平台。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0"/>
          <w:szCs w:val="30"/>
        </w:rPr>
        <w:t>项目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sz w:val="30"/>
          <w:szCs w:val="30"/>
        </w:rPr>
        <w:t>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团队成员不少于4人：具有国家注册会计师资格不少于2人，具有国家注册造价工程师或一级造价工程师注册证书不少于1人，并具备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工程项目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竣工财务决算相关工作经验。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4.服务团队稳定性要求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供应商应确保项目团队主要人员在服务期间保持稳定，未经采购人书面同意不得擅自更换；服务期内确需更换核心人员的，应提前告知采购人并说明理由及替代方案，替代人员资质不得低于原定人员要求。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五、预算金额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br w:type="textWrapping"/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￥   元（大写： ）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，含各种税费。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六、履约期限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自合同签订之日起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个日历日完成</w:t>
      </w:r>
      <w:r>
        <w:rPr>
          <w:rFonts w:hint="default" w:ascii="Times New Roman" w:hAnsi="Times New Roman" w:eastAsia="仿宋" w:cs="Times New Roman"/>
          <w:sz w:val="30"/>
          <w:szCs w:val="30"/>
        </w:rPr>
        <w:t>项目全部服务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七、付款方式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    供应商完成采购人所有服务需求并经采购人验收通过后，采购人一次性支付100%合同款。</w:t>
      </w: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0FD4"/>
    <w:rsid w:val="004B630C"/>
    <w:rsid w:val="03AD4507"/>
    <w:rsid w:val="052C1868"/>
    <w:rsid w:val="06B109C0"/>
    <w:rsid w:val="06BE639D"/>
    <w:rsid w:val="08BA63AD"/>
    <w:rsid w:val="08DA285F"/>
    <w:rsid w:val="0CB1625B"/>
    <w:rsid w:val="0E9868EA"/>
    <w:rsid w:val="0EE84163"/>
    <w:rsid w:val="0EF91D74"/>
    <w:rsid w:val="11F1617E"/>
    <w:rsid w:val="12472771"/>
    <w:rsid w:val="13160DD0"/>
    <w:rsid w:val="13564D7F"/>
    <w:rsid w:val="145A6260"/>
    <w:rsid w:val="16031EFA"/>
    <w:rsid w:val="16086773"/>
    <w:rsid w:val="1713640E"/>
    <w:rsid w:val="17136CD6"/>
    <w:rsid w:val="186B4EA3"/>
    <w:rsid w:val="1F1170C0"/>
    <w:rsid w:val="1FCE4D18"/>
    <w:rsid w:val="202D52F4"/>
    <w:rsid w:val="203C5568"/>
    <w:rsid w:val="20876B58"/>
    <w:rsid w:val="20BD563D"/>
    <w:rsid w:val="21730F81"/>
    <w:rsid w:val="22205CEE"/>
    <w:rsid w:val="246B5567"/>
    <w:rsid w:val="26021703"/>
    <w:rsid w:val="272A7329"/>
    <w:rsid w:val="2AEB552C"/>
    <w:rsid w:val="2DE7128F"/>
    <w:rsid w:val="2E2514D9"/>
    <w:rsid w:val="2FAF3FB7"/>
    <w:rsid w:val="31A07686"/>
    <w:rsid w:val="31A73A40"/>
    <w:rsid w:val="36B5363F"/>
    <w:rsid w:val="37890F5D"/>
    <w:rsid w:val="39F33890"/>
    <w:rsid w:val="3B24351F"/>
    <w:rsid w:val="3B793D09"/>
    <w:rsid w:val="3CE442DA"/>
    <w:rsid w:val="3D411602"/>
    <w:rsid w:val="3F777CC9"/>
    <w:rsid w:val="3F924199"/>
    <w:rsid w:val="3FAC224F"/>
    <w:rsid w:val="40121085"/>
    <w:rsid w:val="4059403F"/>
    <w:rsid w:val="40ED10D6"/>
    <w:rsid w:val="416F4206"/>
    <w:rsid w:val="43FA4DE4"/>
    <w:rsid w:val="44EF0FD4"/>
    <w:rsid w:val="46B53F73"/>
    <w:rsid w:val="46C9599D"/>
    <w:rsid w:val="47166777"/>
    <w:rsid w:val="48C3118D"/>
    <w:rsid w:val="4910049D"/>
    <w:rsid w:val="4973246F"/>
    <w:rsid w:val="497E06E9"/>
    <w:rsid w:val="4E554A8B"/>
    <w:rsid w:val="4EF41ABE"/>
    <w:rsid w:val="4EF561B9"/>
    <w:rsid w:val="4FB302EA"/>
    <w:rsid w:val="526B2B3B"/>
    <w:rsid w:val="53492A0C"/>
    <w:rsid w:val="544B0DBF"/>
    <w:rsid w:val="545E7810"/>
    <w:rsid w:val="588238CC"/>
    <w:rsid w:val="58CD094E"/>
    <w:rsid w:val="5A2B24A9"/>
    <w:rsid w:val="5BE54BB3"/>
    <w:rsid w:val="5F104706"/>
    <w:rsid w:val="5FEF71D6"/>
    <w:rsid w:val="60215452"/>
    <w:rsid w:val="60483C56"/>
    <w:rsid w:val="66AE38F6"/>
    <w:rsid w:val="69BB185A"/>
    <w:rsid w:val="6C200770"/>
    <w:rsid w:val="6DFF37C5"/>
    <w:rsid w:val="6E9A3089"/>
    <w:rsid w:val="713061E1"/>
    <w:rsid w:val="715A6753"/>
    <w:rsid w:val="740244DC"/>
    <w:rsid w:val="74164F32"/>
    <w:rsid w:val="778F6947"/>
    <w:rsid w:val="79CF70A1"/>
    <w:rsid w:val="7A0308E4"/>
    <w:rsid w:val="7AF1281E"/>
    <w:rsid w:val="7E6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2026-06-29T02:12:00Z</dcterms:created>
  <dc:creator>admin</dc:creator>
  <cp:lastModifiedBy>admin</cp:lastModifiedBy>
  <cp:lastPrinted>2026-07-06T08:07:31Z</cp:lastPrinted>
  <dcterms:modified xsi:type="dcterms:W3CDTF">2026-07-06T08:07:46Z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